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Fictional warranty summary</w:t>
      </w:r>
    </w:p>
    <w:p>
      <w:r>
        <w:t>COURSE FIXTURE ONLY. This household note does not establish coverage or consumer rights.</w:t>
      </w:r>
    </w:p>
    <w:p>
      <w:r>
        <w:t>[D27-W01] Document ID: WARRANTY-NOTE. Version: 1.0. Note date: 2024-03-01.</w:t>
      </w:r>
    </w:p>
    <w:p>
      <w:r>
        <w:t>[D27-W02] A household note says: “Two years of cover for EX-A100.”</w:t>
      </w:r>
    </w:p>
    <w:p>
      <w:r>
        <w:t>[D27-W03] The original warranty document, purchase record, start date, coverage conditions and issuing party are absent.</w:t>
      </w:r>
    </w:p>
    <w:p>
      <w:r>
        <w:t>[D27-W04] This note alone cannot establish current coverage, exclusions or a claim entitlement.</w:t>
      </w:r>
    </w:p>
    <w:sectPr w:rsidR="00FC693F" w:rsidRPr="0006063C" w:rsidSect="00034616">
      <w:pgSz w:w="12240" w:h="15840"/>
      <w:pgMar w:top="1224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