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Note fictive de garantie</w:t>
      </w:r>
    </w:p>
    <w:p>
      <w:r>
        <w:t>Exemple de cours uniquement. Ni conditions de garantie ni déclaration de droits des consommateurs.</w:t>
      </w:r>
    </w:p>
    <w:p>
      <w:r>
        <w:t>[D27-W01] Identifiant du document : WARRANTY-NOTE. Version : 1.0. Date de note : 2024-03-01.</w:t>
      </w:r>
    </w:p>
    <w:p>
      <w:r>
        <w:t>[D27-W02] Une note domestique indique : « Deux ans de couverture pour EX-A100. »</w:t>
      </w:r>
    </w:p>
    <w:p>
      <w:r>
        <w:t>[D27-W03] Le document original de garantie, la preuve d’achat, la date de début, les conditions de couverture et l’émetteur sont absents.</w:t>
      </w:r>
    </w:p>
    <w:p>
      <w:r>
        <w:t>[D27-W04] Cette note seule ne peut établir la couverture actuelle, les exclusions ou un droit à réclamation.</w:t>
      </w:r>
    </w:p>
    <w:sectPr w:rsidR="00FC693F" w:rsidRPr="0006063C" w:rsidSect="00034616">
      <w:pgSz w:w="12240" w:h="15840"/>
      <w:pgMar w:top="1224" w:right="1224" w:bottom="1224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